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F" w:rsidRPr="00433C9F" w:rsidRDefault="00433C9F" w:rsidP="00433C9F">
      <w:pPr>
        <w:widowControl/>
        <w:spacing w:line="600" w:lineRule="atLeast"/>
        <w:jc w:val="center"/>
        <w:outlineLvl w:val="0"/>
        <w:rPr>
          <w:rFonts w:ascii="黑体" w:eastAsia="黑体" w:hAnsi="黑体" w:cs="宋体"/>
          <w:b/>
          <w:bCs/>
          <w:color w:val="D00004"/>
          <w:kern w:val="36"/>
          <w:sz w:val="30"/>
          <w:szCs w:val="30"/>
        </w:rPr>
      </w:pPr>
      <w:r w:rsidRPr="00433C9F">
        <w:rPr>
          <w:rFonts w:ascii="黑体" w:eastAsia="黑体" w:hAnsi="黑体" w:cs="宋体" w:hint="eastAsia"/>
          <w:b/>
          <w:bCs/>
          <w:color w:val="D00004"/>
          <w:kern w:val="36"/>
          <w:sz w:val="30"/>
          <w:szCs w:val="30"/>
        </w:rPr>
        <w:t>信贷员必备：金融从业必备贷款公式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b/>
          <w:bCs/>
          <w:color w:val="424242"/>
          <w:kern w:val="0"/>
        </w:rPr>
        <w:t>一、盈利能力分析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1.销售净利率=（净利润÷销售收入）×100% 该比率越大，企业的盈利能力越强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2.资产净利率=（净利润÷总资产）×100% 该比率越大，企业的盈利能力越强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3.权益净利率=（净利润÷股东权益）×100% 该比率越大，企业的盈利能力越强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4.总资产报酬率=（利润总额+利息支出）/平均资产总额×100% 该比率越大，企业的盈利能力越强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5.营业利润率=（营业利润÷营业收入）×100% 该比率越大，企业的盈利能力越强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6.成本费用利润率=（利润总额÷成本费用总额）×100% 该比率越大，企业的经营效益越高.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b/>
          <w:bCs/>
          <w:color w:val="424242"/>
          <w:kern w:val="0"/>
        </w:rPr>
        <w:t>二、盈利质量分析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1.全部资产现金回收率=（经营活动现金净流量÷平均资产总额）×100% 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2.盈利现金比率=（经营现金净流量÷净利润）×100% 该比率越大，企业盈利质量越强，其值一般应大于1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3.销售收现比率=（销售商品或提供劳务收到的现金÷主营业务收入净额）×100% 数值越大表明销售收</w:t>
      </w:r>
      <w:proofErr w:type="gramStart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现能力</w:t>
      </w:r>
      <w:proofErr w:type="gramEnd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越强，销售质量越高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b/>
          <w:bCs/>
          <w:color w:val="424242"/>
          <w:kern w:val="0"/>
        </w:rPr>
        <w:t>三、偿债能力分析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1.净运营资本=流动资产-流动负债=长期资本-长期资产对比企业连续多期的值，进行比较分析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2.流动比率=流动资产÷流动负债与行业平均水平相比进行分析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3.速动比率=速动资产÷流动负债与行业平均水平相比进行分析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4.现金比率=（货币资金+交易性金融资产）÷流动负债与行业平均水平相比进行分析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5.现金流量比率=经营活动现金流量÷流动负债与行业平均水平相比进行分析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6.资产负债率=（总负债÷总资产）×100% 该比值越低，企业偿债越有保证，贷款越安全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7.产权比率与权益乘数产权比率=总负债÷股东权益，权益乘数=总资产÷股东权益产权比率越低，企业偿债越有保证，贷款越安全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8.利息保障倍数=息税前利润÷利息费用=（净利润+利息费用+所得税费用）÷利息费用利息保障倍数越大，利息支付越有保障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9.现金流量利息保障倍数=经营活动现金流量÷利息费用现金流量利息保障倍数越大，利息支付越有保障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lastRenderedPageBreak/>
        <w:t>10.经营现金流量债务比=（经营活动现金流量÷债务总额）×100% 比率越高，偿还债务总额的能力越强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b/>
          <w:bCs/>
          <w:color w:val="424242"/>
          <w:kern w:val="0"/>
        </w:rPr>
        <w:t>四、营运能力分析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1.应收账款周转率应收账款周转次数=销售收入÷</w:t>
      </w:r>
      <w:proofErr w:type="gramStart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应收账款应收账款</w:t>
      </w:r>
      <w:proofErr w:type="gramEnd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周转天数=365÷（销售收入÷应收账款）应收账款与收入比=应收账款÷销售收入与行业平均水平相比进行分析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2.存货周转率存货周转次数=销售收入÷</w:t>
      </w:r>
      <w:proofErr w:type="gramStart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存货存货</w:t>
      </w:r>
      <w:proofErr w:type="gramEnd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周转天数=365÷（销售收入÷存货）存货与收入比=存货÷销售收入与行业平均水平相比进行分析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3.流动资产周转率流动资产周转次数=销售收入÷</w:t>
      </w:r>
      <w:proofErr w:type="gramStart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流动资产流动资产</w:t>
      </w:r>
      <w:proofErr w:type="gramEnd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周转天数=365÷（销售收入÷流动资产）流动资产与收入比=流动资产÷销售收入与行业平均水平相比进行分析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4.净营运资本周转率净营运资本周转次数=销售收入÷净营运资本净营运资本周转天数=365÷（销售收入÷净营运资本）净营运资本与收入比=净营运资本÷销售收入与行业平均水平相比进行分析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5.非流动资产周转率非流动资产周转次数=销售收入÷</w:t>
      </w:r>
      <w:proofErr w:type="gramStart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非流动资产非流动资产</w:t>
      </w:r>
      <w:proofErr w:type="gramEnd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周转天数=365÷（销售收入÷非流动资产）非流动资产与收入比=非流动资产÷销售收入与行业平均水平相比进行分析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6.总资产周转率总资产周转次数=销售收入÷</w:t>
      </w:r>
      <w:proofErr w:type="gramStart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总资产总资产</w:t>
      </w:r>
      <w:proofErr w:type="gramEnd"/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周转天数=365÷（销售收入÷总资产）总资产与收入比=总资产÷销售收入与行业平均水平相比进行分析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b/>
          <w:bCs/>
          <w:color w:val="424242"/>
          <w:kern w:val="0"/>
        </w:rPr>
        <w:t>五、发展能力分析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1.股东权益增长率=（本期股东权益增加额÷股东权益期初余额）×100% 对比企业连续多期的值，分析发展趋势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2.资产增长率=（本期资产增加额÷资产期初余额）×100% 对比企业连续多期的值，分析发展趋势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3.销售增长率=（本期营业收入增加额÷上期营业收入）×100% 对比企业连续多期的值，分析发展趋势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4.净利润增长率=（本期净利润增加额÷上期净利润）×100% 对比企业连续多期的值，分析发展趋势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5.营业利润增长率=（本期营业利润增加额÷上期营业利润）×100% 对比企业连续多期的值，分析发展趋势</w:t>
      </w:r>
    </w:p>
    <w:p w:rsidR="00433C9F" w:rsidRPr="00433C9F" w:rsidRDefault="00433C9F" w:rsidP="00433C9F">
      <w:pPr>
        <w:widowControl/>
        <w:spacing w:line="405" w:lineRule="atLeast"/>
        <w:ind w:firstLine="480"/>
        <w:jc w:val="left"/>
        <w:rPr>
          <w:rFonts w:ascii="宋体" w:eastAsia="宋体" w:hAnsi="宋体" w:cs="宋体" w:hint="eastAsia"/>
          <w:color w:val="424242"/>
          <w:kern w:val="0"/>
          <w:szCs w:val="21"/>
        </w:rPr>
      </w:pPr>
    </w:p>
    <w:p w:rsidR="00433C9F" w:rsidRPr="00433C9F" w:rsidRDefault="00433C9F" w:rsidP="00433C9F">
      <w:pPr>
        <w:widowControl/>
        <w:spacing w:line="405" w:lineRule="atLeast"/>
        <w:ind w:firstLine="480"/>
        <w:jc w:val="right"/>
        <w:rPr>
          <w:rFonts w:ascii="宋体" w:eastAsia="宋体" w:hAnsi="宋体" w:cs="宋体" w:hint="eastAsia"/>
          <w:color w:val="424242"/>
          <w:kern w:val="0"/>
          <w:szCs w:val="21"/>
        </w:rPr>
      </w:pPr>
      <w:r w:rsidRPr="00433C9F">
        <w:rPr>
          <w:rFonts w:ascii="宋体" w:eastAsia="宋体" w:hAnsi="宋体" w:cs="宋体" w:hint="eastAsia"/>
          <w:color w:val="424242"/>
          <w:kern w:val="0"/>
          <w:szCs w:val="21"/>
        </w:rPr>
        <w:t>来源：信贷风险管理</w:t>
      </w:r>
    </w:p>
    <w:p w:rsidR="001339CE" w:rsidRDefault="001339CE"/>
    <w:sectPr w:rsidR="001339CE" w:rsidSect="00133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C9F"/>
    <w:rsid w:val="001339CE"/>
    <w:rsid w:val="0043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C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3C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3C9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xedkrit">
    <w:name w:val="xedk_rit"/>
    <w:basedOn w:val="a"/>
    <w:rsid w:val="00433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3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3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2015-10-08T04:05:00Z</dcterms:created>
  <dcterms:modified xsi:type="dcterms:W3CDTF">2015-10-08T04:06:00Z</dcterms:modified>
</cp:coreProperties>
</file>